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54.png" ContentType="image/png"/>
  <Override PartName="/word/media/rId78.png" ContentType="image/png"/>
  <Override PartName="/word/media/rId43.png" ContentType="image/png"/>
  <Override PartName="/word/media/rId72.png" ContentType="image/png"/>
  <Override PartName="/word/media/rId83.png" ContentType="image/png"/>
  <Override PartName="/word/media/rId2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Maria</w:t>
      </w:r>
      <w:r>
        <w:t xml:space="preserve"> </w:t>
      </w:r>
      <w:r>
        <w:t xml:space="preserve">Laura</w:t>
      </w:r>
      <w:r>
        <w:t xml:space="preserve"> </w:t>
      </w:r>
      <w:r>
        <w:t xml:space="preserve">Zoffoli</w:t>
      </w:r>
    </w:p>
    <w:p>
      <w:pPr>
        <w:pStyle w:val="Author"/>
      </w:pPr>
      <w:r>
        <w:t xml:space="preserve">Anne-Laure</w:t>
      </w:r>
      <w:r>
        <w:t xml:space="preserve"> </w:t>
      </w:r>
      <w:r>
        <w:t xml:space="preserve">Barillé</w:t>
      </w:r>
    </w:p>
    <w:p>
      <w:pPr>
        <w:pStyle w:val="Author"/>
      </w:pPr>
      <w:r>
        <w:t xml:space="preserve">Nicolas</w:t>
      </w:r>
      <w:r>
        <w:t xml:space="preserve"> </w:t>
      </w:r>
      <w:r>
        <w:t xml:space="preserve">Harin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2024-10-24</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Remote sensing is increasingly being used to monitor marine ecosystems, including seagrass meadows. Spectral indices such as the Normalized Difference Vegetation Index (NDVI) and the Soil-Adjusted Vegetation Index (SAVI) are effective for quantifying vegetation health over time</w:t>
      </w:r>
      <w:r>
        <w:t xml:space="preserve"> </w:t>
      </w:r>
      <w:r>
        <w:t xml:space="preserve">(Akbar et al., 2020; Cârlan et al., 2020; Huete, 2012; Kloos et al., 2021)</w:t>
      </w:r>
      <w:r>
        <w:t xml:space="preserve">. By analyzing specific spectral patterns, remote sensing can track changes in seagrass meadows with high temporal and spatial resolution. Europe promotes these techniques through frameworks like the Water Framework Directive and the Marine Strategy Framework Directive, which advocate for habitat mapping using remote sensing technologies to cover large areas and detect long-term trends</w:t>
      </w:r>
      <w:r>
        <w:t xml:space="preserve"> </w:t>
      </w:r>
      <w:r>
        <w:t xml:space="preserve">(Papathanasopoulou et al., 2019)</w:t>
      </w:r>
      <w:r>
        <w:t xml:space="preserve">.</w:t>
      </w:r>
    </w:p>
    <w:p>
      <w:pPr>
        <w:pStyle w:val="BodyText"/>
      </w:pPr>
      <w:r>
        <w:t xml:space="preserve">This study aims to experimentally test the hypothesis that warm events, such as atmospheric heatwaves, alter the pigment composition and reflectance of the intertidal seagrass Nanozostera noltei. By linking these changes with satellite remote sensing data, the study seeks to provide insights into how heatwaves affect seagrass meadows and to assess the potential of remote sensing in monitoring these impacts</w:t>
      </w:r>
    </w:p>
    <w:bookmarkEnd w:id="20"/>
    <w:bookmarkStart w:id="71" w:name="material-methods"/>
    <w:p>
      <w:pPr>
        <w:pStyle w:val="Heading1"/>
      </w:pPr>
      <w:r>
        <w:t xml:space="preserve">2. Material &amp; Methods</w:t>
      </w:r>
    </w:p>
    <w:bookmarkStart w:id="41" w:name="X27a1969d5b72398d0a273597903fb82da79178c"/>
    <w:p>
      <w:pPr>
        <w:pStyle w:val="Heading2"/>
      </w:pPr>
      <w:r>
        <w:t xml:space="preserve">2.1 Observation of seagrass leaves darkening.</w:t>
      </w:r>
    </w:p>
    <w:bookmarkStart w:id="31" w:name="field-observation"/>
    <w:p>
      <w:pPr>
        <w:pStyle w:val="Heading3"/>
      </w:pPr>
      <w:r>
        <w:t xml:space="preserve">2.1.1 Field Observation</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456777"/>
                  <wp:effectExtent b="0" l="0" r="0" t="0"/>
                  <wp:docPr descr="" title="" id="22" name="Picture"/>
                  <a:graphic>
                    <a:graphicData uri="http://schemas.openxmlformats.org/drawingml/2006/picture">
                      <pic:pic>
                        <pic:nvPicPr>
                          <pic:cNvPr descr="Figs/Low_res/Quiberon_map.png" id="23" name="Picture"/>
                          <pic:cNvPicPr>
                            <a:picLocks noChangeArrowheads="1" noChangeAspect="1"/>
                          </pic:cNvPicPr>
                        </pic:nvPicPr>
                        <pic:blipFill>
                          <a:blip r:embed="rId21"/>
                          <a:stretch>
                            <a:fillRect/>
                          </a:stretch>
                        </pic:blipFill>
                        <pic:spPr bwMode="auto">
                          <a:xfrm>
                            <a:off x="0" y="0"/>
                            <a:ext cx="5334000" cy="54567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green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 (</w:t>
      </w:r>
      <w:hyperlink w:anchor="fig-QuiberonImg">
        <w:r>
          <w:rPr>
            <w:rStyle w:val="Hyperlink"/>
          </w:rPr>
          <w:t xml:space="preserve">Figure 2</w:t>
        </w:r>
      </w:hyperlink>
      <w:r>
        <w:t xml:space="preserve"> </w:t>
      </w:r>
      <w:r>
        <w:t xml:space="preserve">C &amp; D).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122 Ground Control Points (GCPs) were collected in the form of georeferenced quadrat images across the meadow . These images allow for visual assessment of vegetation type, density, and health status. The images were then divided into two categories: green seagrasses and darkened seagrasses, based on a visual estimation of the leaf condition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5334000" cy="3526559"/>
                  <wp:effectExtent b="0" l="0" r="0" t="0"/>
                  <wp:docPr descr="" title="" id="27" name="Picture"/>
                  <a:graphic>
                    <a:graphicData uri="http://schemas.openxmlformats.org/drawingml/2006/picture">
                      <pic:pic>
                        <pic:nvPicPr>
                          <pic:cNvPr descr="Figs/Low_res/img_Quiberon.png" id="28" name="Picture"/>
                          <pic:cNvPicPr>
                            <a:picLocks noChangeArrowheads="1" noChangeAspect="1"/>
                          </pic:cNvPicPr>
                        </pic:nvPicPr>
                        <pic:blipFill>
                          <a:blip r:embed="rId26"/>
                          <a:stretch>
                            <a:fillRect/>
                          </a:stretch>
                        </pic:blipFill>
                        <pic:spPr bwMode="auto">
                          <a:xfrm>
                            <a:off x="0" y="0"/>
                            <a:ext cx="5334000" cy="35265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green green meadow; B: Quadrat images of green seagrasses; C: Quadrat images of darkened seagrasses; D: Global view of an darkened meadow. All images were taken on September 10th, 2021, in Quiberon.</w:t>
            </w:r>
          </w:p>
          <w:bookmarkEnd w:id="29"/>
        </w:tc>
      </w:tr>
    </w:tbl>
    <w:bookmarkEnd w:id="30"/>
    <w:bookmarkEnd w:id="31"/>
    <w:bookmarkStart w:id="35" w:name="X73fb4b6725bb43bdc3c17946b41d73eba45f33b"/>
    <w:p>
      <w:pPr>
        <w:pStyle w:val="Heading3"/>
      </w:pPr>
      <w:r>
        <w:t xml:space="preserve">2.1.2 Temparature Data and identification of heatwaves</w:t>
      </w:r>
    </w:p>
    <w:bookmarkStart w:id="33" w:name="air-temperature"/>
    <w:p>
      <w:pPr>
        <w:pStyle w:val="Heading4"/>
      </w:pPr>
      <w:r>
        <w:t xml:space="preserve">2.1.2.1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2">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 Following the methodology of</w:t>
      </w:r>
      <w:r>
        <w:t xml:space="preserve"> </w:t>
      </w:r>
      <w:r>
        <w:t xml:space="preserve">Schlegel et al. (2017)</w:t>
      </w:r>
      <w:r>
        <w:t xml:space="preserve">, coldspell events corresponding to temperature bellow the percentile 10th of the climatology during 3 consecutives days have also been measured.</w:t>
      </w:r>
    </w:p>
    <w:p>
      <w:pPr>
        <w:pStyle w:val="BodyText"/>
      </w:pPr>
      <w:r>
        <w:t xml:space="preserve">Concerning heatwaves event near Quiberon, this methodology has been apply solely on the nearest weather station of our study site (Lorient-Lann Bihoue, 47°45’46”N 3°26’11”W , more than 395000 observation since the 1st of February 1952).</w:t>
      </w:r>
    </w:p>
    <w:bookmarkEnd w:id="33"/>
    <w:bookmarkStart w:id="34" w:name="water-temperature"/>
    <w:p>
      <w:pPr>
        <w:pStyle w:val="Heading4"/>
      </w:pPr>
      <w:r>
        <w:t xml:space="preserve">2.1.2.2 Water temperature</w:t>
      </w:r>
    </w:p>
    <w:p>
      <w:pPr>
        <w:pStyle w:val="FirstParagraph"/>
      </w:pPr>
      <w:r>
        <w:t xml:space="preserve">SST data from the Copernicus CMEMS platform were downloaded for the French coast near Quiberon (47°29′03″N, 3°07′09″W), covering 1982-2022</w:t>
      </w:r>
      <w:r>
        <w:t xml:space="preserve"> </w:t>
      </w:r>
      <w:r>
        <w:t xml:space="preserve">(CMEMS, 2024)</w:t>
      </w:r>
      <w:r>
        <w:t xml:space="preserve">. Only pixels within an area of 2700 km² around Quiberon, Brittany, France (47°29′03″N, 3°07′09″W) were extracted and analyzed. This area was large enough to minimize missing values caused by cloud cover, yet small enough to avoid being influenced by the stability of offshore SST. The multi-sensor Level 3S Sea Surface Temperature (SST) product the we used is built from nighttime infrared satellite data, including sources like ESA SST CCI, C3S, and EUMETSAT. Data from AVHRR, ATSR, and SLSTR radiometers are used, but only those with a quality level above 4. An intercalibration method ensures consistency, and a daily reference SST field is constructed by combining the best data with median values from other sources. A large-scale bias correction is applied, and daily single-sensor composites are merged into a multi-sensor file (L3S), selecting the best sensor for each grid cell. A daily average was computed for the time series, and the HeatwaveR package</w:t>
      </w:r>
      <w:r>
        <w:t xml:space="preserve"> </w:t>
      </w:r>
      <w:r>
        <w:t xml:space="preserve">(Schlegel and Smit, 2018)</w:t>
      </w:r>
      <w:r>
        <w:t xml:space="preserve"> </w:t>
      </w:r>
      <w:r>
        <w:t xml:space="preserve">was used to compute SST climatology and detect SST events using the same method as air temperature event detection.</w:t>
      </w:r>
    </w:p>
    <w:bookmarkEnd w:id="34"/>
    <w:bookmarkEnd w:id="35"/>
    <w:bookmarkStart w:id="36" w:name="satellite-observation"/>
    <w:p>
      <w:pPr>
        <w:pStyle w:val="Heading3"/>
      </w:pPr>
      <w:r>
        <w:t xml:space="preserve">2.1.3 Satellite Observation</w:t>
      </w:r>
    </w:p>
    <w:p>
      <w:pPr>
        <w:pStyle w:val="FirstParagraph"/>
      </w:pPr>
      <w:r>
        <w:t xml:space="preserve">Two Sentinel-2 images covering the field trip site (</w:t>
      </w:r>
      <w:hyperlink w:anchor="fig-quiberonMap">
        <w:r>
          <w:rPr>
            <w:rStyle w:val="Hyperlink"/>
          </w:rPr>
          <w:t xml:space="preserve">Figure 1</w:t>
        </w:r>
      </w:hyperlink>
      <w:r>
        <w:t xml:space="preserve">) were downloaded from the Copernicus platform</w:t>
      </w:r>
      <w:r>
        <w:t xml:space="preserve"> </w:t>
      </w:r>
      <w:r>
        <w:t xml:space="preserve">(European Space Agency, 2024a)</w:t>
      </w:r>
      <w:r>
        <w:t xml:space="preserve">. The first image was taken before the heatwave event on September 1, 2021, and the second one after the event on September 6, 2021. Both images were acquired at Level-2 processing, in surface reflectance, and were orthorectified and atmospherically corrected to account for the effects of the atmosphere on reflectance values</w:t>
      </w:r>
      <w:r>
        <w:t xml:space="preserve"> </w:t>
      </w:r>
      <w:r>
        <w:t xml:space="preserve">(European Space Agency, 2024b)</w:t>
      </w:r>
      <w:r>
        <w:t xml:space="preserve">.</w:t>
      </w:r>
    </w:p>
    <w:p>
      <w:pPr>
        <w:pStyle w:val="BodyText"/>
      </w:pPr>
      <w:r>
        <w:t xml:space="preserve">Reflectance value of each GCPs (</w:t>
      </w:r>
      <w:hyperlink w:anchor="fig-quiberonMap">
        <w:r>
          <w:rPr>
            <w:rStyle w:val="Hyperlink"/>
          </w:rPr>
          <w:t xml:space="preserve">Figure 1</w:t>
        </w:r>
      </w:hyperlink>
      <w:r>
        <w:t xml:space="preserve">) have been exctracted and compared before and after the heatwave event.</w:t>
      </w:r>
    </w:p>
    <w:bookmarkEnd w:id="36"/>
    <w:bookmarkStart w:id="40" w:name="emersion-time-of-seagrasses"/>
    <w:p>
      <w:pPr>
        <w:pStyle w:val="Heading3"/>
      </w:pPr>
      <w:r>
        <w:t xml:space="preserve">2.1.4 Emersion Time of Seagrasses</w:t>
      </w:r>
    </w:p>
    <w:p>
      <w:pPr>
        <w:pStyle w:val="FirstParagraph"/>
      </w:pPr>
      <w:r>
        <w:t xml:space="preserve">To estimate the emersion time of seagrasses during low tide, both bathymetric and tidal data are required.</w:t>
      </w:r>
    </w:p>
    <w:bookmarkStart w:id="37" w:name="bathymetry"/>
    <w:p>
      <w:pPr>
        <w:pStyle w:val="Heading4"/>
      </w:pPr>
      <w:r>
        <w:t xml:space="preserve">2.1.4.1 Bathymetry</w:t>
      </w:r>
    </w:p>
    <w:p>
      <w:pPr>
        <w:pStyle w:val="FirstParagraph"/>
      </w:pPr>
      <w:r>
        <w:t xml:space="preserve">Bathymetry data for the study site were obtained from the</w:t>
      </w:r>
      <w:r>
        <w:t xml:space="preserve"> </w:t>
      </w:r>
      <w:r>
        <w:t xml:space="preserve">“</w:t>
      </w:r>
      <w:r>
        <w:t xml:space="preserve">Service Hydrographique et Océanographique de la Marine</w:t>
      </w:r>
      <w:r>
        <w:t xml:space="preserve">”</w:t>
      </w:r>
      <w:r>
        <w:t xml:space="preserve"> </w:t>
      </w:r>
      <w:r>
        <w:t xml:space="preserve">(SHOM, 2021)</w:t>
      </w:r>
      <w:r>
        <w:t xml:space="preserve">. The reference</w:t>
      </w:r>
      <w:r>
        <w:t xml:space="preserve"> </w:t>
      </w:r>
      <w:r>
        <w:t xml:space="preserve">“</w:t>
      </w:r>
      <w:r>
        <w:t xml:space="preserve">zero</w:t>
      </w:r>
      <w:r>
        <w:t xml:space="preserve">”</w:t>
      </w:r>
      <w:r>
        <w:t xml:space="preserve"> </w:t>
      </w:r>
      <w:r>
        <w:t xml:space="preserve">of this product is based on the NGF/IGN69, which refers to the mean sea level recorded at the Marseille tide gauge between 1885 and 1897. This reference is known as the Terrestrial Altimetric Zero.</w:t>
      </w:r>
    </w:p>
    <w:bookmarkEnd w:id="37"/>
    <w:bookmarkStart w:id="38" w:name="tides"/>
    <w:p>
      <w:pPr>
        <w:pStyle w:val="Heading4"/>
      </w:pPr>
      <w:r>
        <w:t xml:space="preserve">2.1.4.2 Tides</w:t>
      </w:r>
    </w:p>
    <w:p>
      <w:pPr>
        <w:pStyle w:val="FirstParagraph"/>
      </w:pPr>
      <w:r>
        <w:t xml:space="preserve">Tidal data for the heatwave events at the study site were downloaded from the Intergovernmental Oceanographic Commission data portal</w:t>
      </w:r>
      <w:r>
        <w:t xml:space="preserve"> </w:t>
      </w:r>
      <w:r>
        <w:t xml:space="preserve">(IOC, 2024)</w:t>
      </w:r>
      <w:r>
        <w:t xml:space="preserve">, for the nearest tide gauge located at Le Conquet. The</w:t>
      </w:r>
      <w:r>
        <w:t xml:space="preserve"> </w:t>
      </w:r>
      <w:r>
        <w:t xml:space="preserve">“</w:t>
      </w:r>
      <w:r>
        <w:t xml:space="preserve">zero</w:t>
      </w:r>
      <w:r>
        <w:t xml:space="preserve">”</w:t>
      </w:r>
      <w:r>
        <w:t xml:space="preserve"> </w:t>
      </w:r>
      <w:r>
        <w:t xml:space="preserve">for this dataset corresponds to the lowest astronomical tide, also known as the Hydrographic Zero.</w:t>
      </w:r>
    </w:p>
    <w:bookmarkEnd w:id="38"/>
    <w:bookmarkStart w:id="39" w:name="Xbf264478f974180ffb3bdd3c25bd1d9918635ab"/>
    <w:p>
      <w:pPr>
        <w:pStyle w:val="Heading4"/>
      </w:pPr>
      <w:r>
        <w:t xml:space="preserve">2.1.4.3 Reference intercalibration of both dataset</w:t>
      </w:r>
    </w:p>
    <w:p>
      <w:pPr>
        <w:pStyle w:val="FirstParagraph"/>
      </w:pPr>
      <w:r>
        <w:t xml:space="preserve">Since the altitude references of these two datasets differ, a correction factor must be applied to adjust the reference of one dataset to match the other. The SHOM annually provides a document called</w:t>
      </w:r>
      <w:r>
        <w:t xml:space="preserve"> </w:t>
      </w:r>
      <w:r>
        <w:t xml:space="preserve">“</w:t>
      </w:r>
      <w:r>
        <w:t xml:space="preserve">Références Altimétriques Marines</w:t>
      </w:r>
      <w:r>
        <w:t xml:space="preserve">”</w:t>
      </w:r>
      <w:r>
        <w:t xml:space="preserve"> </w:t>
      </w:r>
      <w:r>
        <w:t xml:space="preserve">(RAM, Shom, 2022)</w:t>
      </w:r>
      <w:r>
        <w:t xml:space="preserve">, which includes correction factors for each seaport along the French coastline. These factors allow, among other things, the conversion of the Terrestrial Altimetric Zero to the Hydrographic Zero. For Le Conquet, the correction factor is 2.850 meters.</w:t>
      </w:r>
    </w:p>
    <w:bookmarkEnd w:id="39"/>
    <w:bookmarkEnd w:id="40"/>
    <w:bookmarkEnd w:id="41"/>
    <w:bookmarkStart w:id="70" w:name="laboratory-experiment"/>
    <w:p>
      <w:pPr>
        <w:pStyle w:val="Heading2"/>
      </w:pPr>
      <w:r>
        <w:t xml:space="preserve">2.2 Laboratory experiment</w:t>
      </w:r>
    </w:p>
    <w:bookmarkStart w:id="42"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The entire system, including seagrass, sediment, meiofauna, and macrofauna, was placed in plastic trays together in a mesocosm setup, which allowed for the natural interactions between components to be maintained and reduced stress on the seagrass.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42"/>
    <w:bookmarkStart w:id="59" w:name="experimental-design"/>
    <w:p>
      <w:pPr>
        <w:pStyle w:val="Heading3"/>
      </w:pPr>
      <w:r>
        <w:t xml:space="preserve">2.2.2 Experimental design</w:t>
      </w:r>
    </w:p>
    <w:bookmarkStart w:id="47" w:name="cell-fig-design"/>
    <w:tbl>
      <w:tblPr>
        <w:tblStyle w:val="Table"/>
        <w:tblW w:type="pct" w:w="5000"/>
        <w:tblLayout w:type="fixed"/>
        <w:tblLook w:firstRow="0" w:lastRow="0" w:firstColumn="0" w:lastColumn="0" w:noHBand="0" w:noVBand="0" w:val="0000"/>
      </w:tblPr>
      <w:tblGrid>
        <w:gridCol w:w="7920"/>
      </w:tblGrid>
      <w:tr>
        <w:tc>
          <w:tcPr/>
          <w:bookmarkStart w:id="46" w:name="fig-design"/>
          <w:p>
            <w:pPr>
              <w:pStyle w:val="Compact"/>
              <w:jc w:val="center"/>
            </w:pPr>
            <w:r>
              <w:drawing>
                <wp:inline>
                  <wp:extent cx="5334000" cy="5246716"/>
                  <wp:effectExtent b="0" l="0" r="0" t="0"/>
                  <wp:docPr descr="" title="" id="44" name="Picture"/>
                  <a:graphic>
                    <a:graphicData uri="http://schemas.openxmlformats.org/drawingml/2006/picture">
                      <pic:pic>
                        <pic:nvPicPr>
                          <pic:cNvPr descr="Figs/Low_res/Experimental_design.png" id="45" name="Picture"/>
                          <pic:cNvPicPr>
                            <a:picLocks noChangeArrowheads="1" noChangeAspect="1"/>
                          </pic:cNvPicPr>
                        </pic:nvPicPr>
                        <pic:blipFill>
                          <a:blip r:embed="rId43"/>
                          <a:stretch>
                            <a:fillRect/>
                          </a:stretch>
                        </pic:blipFill>
                        <pic:spPr bwMode="auto">
                          <a:xfrm>
                            <a:off x="0" y="0"/>
                            <a:ext cx="5334000" cy="5246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6"/>
        </w:tc>
      </w:tr>
    </w:tbl>
    <w:bookmarkEnd w:id="47"/>
    <w:p>
      <w:pPr>
        <w:pStyle w:val="BodyText"/>
      </w:pPr>
      <w:r>
        <w:t xml:space="preserve">Two intertidal chambers from</w:t>
      </w:r>
      <w:r>
        <w:t xml:space="preserve"> </w:t>
      </w:r>
      <w:hyperlink r:id="rId48">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w:t>
      </w:r>
    </w:p>
    <w:bookmarkStart w:id="53" w:name="cell-fig-Temperature_Bourgneuf"/>
    <w:tbl>
      <w:tblPr>
        <w:tblStyle w:val="Table"/>
        <w:tblW w:type="pct" w:w="5000"/>
        <w:tblLayout w:type="fixed"/>
        <w:tblLook w:firstRow="0" w:lastRow="0" w:firstColumn="0" w:lastColumn="0" w:noHBand="0" w:noVBand="0" w:val="0000"/>
      </w:tblPr>
      <w:tblGrid>
        <w:gridCol w:w="7920"/>
      </w:tblGrid>
      <w:tr>
        <w:tc>
          <w:tcPr/>
          <w:bookmarkStart w:id="52" w:name="fig-Temperature_Bourgneuf"/>
          <w:p>
            <w:pPr>
              <w:pStyle w:val="Compact"/>
              <w:jc w:val="center"/>
            </w:pPr>
            <w:r>
              <w:drawing>
                <wp:inline>
                  <wp:extent cx="1600200" cy="1600200"/>
                  <wp:effectExtent b="0" l="0" r="0" t="0"/>
                  <wp:docPr descr="" title="" id="50" name="Picture"/>
                  <a:graphic>
                    <a:graphicData uri="http://schemas.openxmlformats.org/drawingml/2006/picture">
                      <pic:pic>
                        <pic:nvPicPr>
                          <pic:cNvPr descr="Figs/High_res/Temperature_compare.png" id="51" name="Picture"/>
                          <pic:cNvPicPr>
                            <a:picLocks noChangeArrowheads="1" noChangeAspect="1"/>
                          </pic:cNvPicPr>
                        </pic:nvPicPr>
                        <pic:blipFill>
                          <a:blip r:embed="rId49"/>
                          <a:stretch>
                            <a:fillRect/>
                          </a:stretch>
                        </pic:blipFill>
                        <pic:spPr bwMode="auto">
                          <a:xfrm>
                            <a:off x="0" y="0"/>
                            <a:ext cx="16002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52"/>
        </w:tc>
      </w:tr>
    </w:tbl>
    <w:bookmarkEnd w:id="53"/>
    <w:p>
      <w:pPr>
        <w:pStyle w:val="BodyText"/>
      </w:pPr>
      <w:r>
        <w:t xml:space="preserve">To experimentally apply temperatures that closely mimic those experienced by seagrasses in the field,</w:t>
      </w:r>
      <w:r>
        <w:t xml:space="preserve"> </w:t>
      </w:r>
      <w:r>
        <w:rPr>
          <w:i/>
          <w:iCs/>
        </w:rPr>
        <w:t xml:space="preserve">in situ</w:t>
      </w:r>
      <w:r>
        <w:t xml:space="preserve"> </w:t>
      </w:r>
      <w:r>
        <w:t xml:space="preserve">temperature sensors were placed at the sampling site in Bourgneuf Bay during August 2024. The daily maximum temperatures recorded by the</w:t>
      </w:r>
      <w:r>
        <w:t xml:space="preserve"> </w:t>
      </w:r>
      <w:r>
        <w:rPr>
          <w:i/>
          <w:iCs/>
        </w:rPr>
        <w:t xml:space="preserve">in situ</w:t>
      </w:r>
      <w:r>
        <w:t xml:space="preserve"> </w:t>
      </w:r>
      <w:r>
        <w:t xml:space="preserve">sensors were compared to those measured by the nearest weather station operated by Meteo France (</w:t>
      </w:r>
      <w:hyperlink w:anchor="fig-Temperature_Bourgneuf">
        <w:r>
          <w:rPr>
            <w:rStyle w:val="Hyperlink"/>
          </w:rPr>
          <w:t xml:space="preserve">Figure 4</w:t>
        </w:r>
      </w:hyperlink>
      <w:r>
        <w:t xml:space="preserve">). On average,</w:t>
      </w:r>
      <w:r>
        <w:t xml:space="preserve"> </w:t>
      </w:r>
      <w:r>
        <w:rPr>
          <w:i/>
          <w:iCs/>
        </w:rPr>
        <w:t xml:space="preserve">in situ</w:t>
      </w:r>
      <w:r>
        <w:t xml:space="preserve"> </w:t>
      </w:r>
      <w:r>
        <w:t xml:space="preserve">temperatures were 3 ± 3.2°C higher than those recorded by Meteo France. Additionally, Meteo France temperatures were more stable compared to those from the</w:t>
      </w:r>
      <w:r>
        <w:t xml:space="preserve"> </w:t>
      </w:r>
      <w:r>
        <w:rPr>
          <w:i/>
          <w:iCs/>
        </w:rPr>
        <w:t xml:space="preserve">in situ</w:t>
      </w:r>
      <w:r>
        <w:t xml:space="preserve"> </w:t>
      </w:r>
      <w:r>
        <w:t xml:space="preserve">sensor. This stability is explained by the fact that Meteo France temperatures are measured in a sheltered, shaded location . This offset was used to adjust heatwave temperatures measured by Meteo France to reflect the conditions experienced by the seagrasses.</w:t>
      </w:r>
    </w:p>
    <w:p>
      <w:pPr>
        <w:pStyle w:val="BodyText"/>
      </w:pPr>
      <w:r>
        <w:t xml:space="preserve">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5</w:t>
        </w:r>
      </w:hyperlink>
      <w:r>
        <w:t xml:space="preserve"> </w:t>
      </w:r>
      <w:r>
        <w:t xml:space="preserve">left). For the experimental treatment, the air temperature was set to mimic an atmospheric heatwave that occurred over the seagrass meadow of Quiberon, France (47°35’40.0”N, 3°07’30.0”W) from September 2,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5</w:t>
        </w:r>
      </w:hyperlink>
      <w:r>
        <w:t xml:space="preserve"> </w:t>
      </w:r>
      <w:r>
        <w:t xml:space="preserve">right). The experiment stops only when no changes in the reflectance of the treatment are observed for 2 consecutive days.</w:t>
      </w:r>
    </w:p>
    <w:bookmarkStart w:id="58" w:name="cell-fig-Profile"/>
    <w:tbl>
      <w:tblPr>
        <w:tblStyle w:val="Table"/>
        <w:tblW w:type="pct" w:w="5000"/>
        <w:tblLayout w:type="fixed"/>
        <w:tblLook w:firstRow="0" w:lastRow="0" w:firstColumn="0" w:lastColumn="0" w:noHBand="0" w:noVBand="0" w:val="0000"/>
      </w:tblPr>
      <w:tblGrid>
        <w:gridCol w:w="7920"/>
      </w:tblGrid>
      <w:tr>
        <w:tc>
          <w:tcPr/>
          <w:bookmarkStart w:id="57" w:name="fig-Profile"/>
          <w:p>
            <w:pPr>
              <w:pStyle w:val="Compact"/>
              <w:jc w:val="center"/>
            </w:pPr>
            <w:r>
              <w:drawing>
                <wp:inline>
                  <wp:extent cx="5334000" cy="2439728"/>
                  <wp:effectExtent b="0" l="0" r="0" t="0"/>
                  <wp:docPr descr="" title="" id="55" name="Picture"/>
                  <a:graphic>
                    <a:graphicData uri="http://schemas.openxmlformats.org/drawingml/2006/picture">
                      <pic:pic>
                        <pic:nvPicPr>
                          <pic:cNvPr descr="Figs/Low_res/Chamber_Profils.png" id="56" name="Picture"/>
                          <pic:cNvPicPr>
                            <a:picLocks noChangeArrowheads="1" noChangeAspect="1"/>
                          </pic:cNvPicPr>
                        </pic:nvPicPr>
                        <pic:blipFill>
                          <a:blip r:embed="rId54"/>
                          <a:stretch>
                            <a:fillRect/>
                          </a:stretch>
                        </pic:blipFill>
                        <pic:spPr bwMode="auto">
                          <a:xfrm>
                            <a:off x="0" y="0"/>
                            <a:ext cx="5334000" cy="2439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57"/>
        </w:tc>
      </w:tr>
    </w:tbl>
    <w:bookmarkEnd w:id="58"/>
    <w:bookmarkEnd w:id="59"/>
    <w:bookmarkStart w:id="69" w:name="Xace924ada36ed3f851fe125e1fb1311c1764a5d"/>
    <w:p>
      <w:pPr>
        <w:pStyle w:val="Heading3"/>
      </w:pPr>
      <w:r>
        <w:t xml:space="preserve">2.2.3 Bio-optical measurmenents over seagrass leaves</w:t>
      </w:r>
    </w:p>
    <w:bookmarkStart w:id="67" w:name="hyperspectral-measurements"/>
    <w:p>
      <w:pPr>
        <w:pStyle w:val="Heading4"/>
      </w:pPr>
      <w:r>
        <w:t xml:space="preserve">2.2.3.1 Hyperspectral measurements</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60">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61"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61"/>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Seagrass Percent Covers, developed by</w:t>
      </w:r>
      <w:r>
        <w:t xml:space="preserve"> </w:t>
      </w:r>
      <w:r>
        <w:t xml:space="preserve">Zoffoli et al. (2020)</w:t>
      </w:r>
      <w:r>
        <w:t xml:space="preserve">, used to assess proportion of seagrass inside of a pixel (</w:t>
      </w:r>
      <w:hyperlink w:anchor="eq-spc">
        <w:r>
          <w:rPr>
            <w:rStyle w:val="Hyperlink"/>
          </w:rPr>
          <w:t xml:space="preserve">Equation 2</w:t>
        </w:r>
      </w:hyperlink>
      <w:r>
        <w:t xml:space="preserve">):</w:t>
      </w:r>
    </w:p>
    <w:p>
      <w:pPr>
        <w:pStyle w:val="FirstParagraph"/>
      </w:pPr>
      <w:bookmarkStart w:id="62" w:name="eq-spc"/>
      <m:oMathPara>
        <m:oMathParaPr>
          <m:jc m:val="center"/>
        </m:oMathParaPr>
        <m:oMath>
          <m:r>
            <m:t>S</m:t>
          </m:r>
          <m:r>
            <m:t>P</m:t>
          </m:r>
          <m:r>
            <m:t>C</m:t>
          </m:r>
          <m:r>
            <m:rPr>
              <m:sty m:val="p"/>
            </m:rPr>
            <m:t>=</m:t>
          </m:r>
          <m:r>
            <m:t>172.06</m:t>
          </m:r>
          <m:r>
            <m:rPr>
              <m:sty m:val="p"/>
            </m:rPr>
            <m:t>×</m:t>
          </m:r>
          <m:r>
            <m:t>N</m:t>
          </m:r>
          <m:r>
            <m:t>D</m:t>
          </m:r>
          <m:r>
            <m:t>V</m:t>
          </m:r>
          <m:r>
            <m:t>I</m:t>
          </m:r>
          <m:r>
            <m:rPr>
              <m:sty m:val="p"/>
            </m:rPr>
            <m:t>−</m:t>
          </m:r>
          <m:r>
            <m:t>22.18</m:t>
          </m:r>
          <m:r>
            <m:t>  </m:t>
          </m:r>
          <m:d>
            <m:dPr>
              <m:begChr m:val="("/>
              <m:endChr m:val=")"/>
              <m:sepChr m:val=""/>
              <m:grow/>
            </m:dPr>
            <m:e>
              <m:r>
                <m:t>2</m:t>
              </m:r>
            </m:e>
          </m:d>
        </m:oMath>
      </m:oMathPara>
      <w:bookmarkEnd w:id="62"/>
    </w:p>
    <w:p>
      <w:pPr>
        <w:pStyle w:val="Compact"/>
        <w:numPr>
          <w:ilvl w:val="0"/>
          <w:numId w:val="1003"/>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3</w:t>
        </w:r>
      </w:hyperlink>
      <w:r>
        <w:t xml:space="preserve">)</w:t>
      </w:r>
    </w:p>
    <w:p>
      <w:pPr>
        <w:pStyle w:val="FirstParagraph"/>
      </w:pPr>
      <w:bookmarkStart w:id="63"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3</m:t>
              </m:r>
            </m:e>
          </m:d>
        </m:oMath>
      </m:oMathPara>
      <w:bookmarkEnd w:id="63"/>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4"/>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64"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4</m:t>
              </m:r>
            </m:e>
          </m:d>
        </m:oMath>
      </m:oMathPara>
      <w:bookmarkEnd w:id="64"/>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65" w:name="multispectral-imagery-measurement"/>
      <w:r>
        <w:t xml:space="preserve">2.2.3.2 Multispectral imagery measurement</w:t>
      </w:r>
      <w:bookmarkEnd w:id="65"/>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66">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67"/>
    <w:bookmarkStart w:id="68" w:name="pigment-concentration-measurements"/>
    <w:p>
      <w:pPr>
        <w:pStyle w:val="Heading4"/>
      </w:pPr>
      <w:r>
        <w:t xml:space="preserve">2.2.3.3 Pigment concentration measurements</w:t>
      </w:r>
    </w:p>
    <w:p>
      <w:pPr>
        <w:pStyle w:val="FirstParagraph"/>
      </w:pPr>
      <w:r>
        <w:t xml:space="preserve">At the beginning and the end of each diurnal low tide (09:00 am and 03:00 pm) leaves samples have been took in both the test and the control. leaves sampled have been stored under -80°C waiting for analysis. Before pigment extraction, each sample was lyophilized and its dry weight was measured.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w:t>
      </w:r>
    </w:p>
    <w:p>
      <w:pPr>
        <w:pStyle w:val="BodyText"/>
      </w:pPr>
      <w:r>
        <w:rPr>
          <w:b/>
          <w:bCs/>
        </w:rPr>
        <w:t xml:space="preserve">Au secours Philippe !!!</w:t>
      </w:r>
    </w:p>
    <w:bookmarkEnd w:id="68"/>
    <w:bookmarkEnd w:id="69"/>
    <w:bookmarkEnd w:id="70"/>
    <w:bookmarkEnd w:id="71"/>
    <w:bookmarkStart w:id="90" w:name="results"/>
    <w:p>
      <w:pPr>
        <w:pStyle w:val="Heading1"/>
      </w:pPr>
      <w:r>
        <w:t xml:space="preserve">3. Results</w:t>
      </w:r>
    </w:p>
    <w:bookmarkStart w:id="89" w:name="heatwaves-of-quiberon"/>
    <w:p>
      <w:pPr>
        <w:pStyle w:val="Heading2"/>
      </w:pPr>
      <w:r>
        <w:t xml:space="preserve">3.1 Heatwaves of Quiberon</w:t>
      </w:r>
    </w:p>
    <w:bookmarkStart w:id="77" w:name="spectral-inspection"/>
    <w:p>
      <w:pPr>
        <w:pStyle w:val="Heading3"/>
      </w:pPr>
      <w:r>
        <w:t xml:space="preserve">3.1.1 Spectral inspection</w:t>
      </w:r>
    </w:p>
    <w:p>
      <w:pPr>
        <w:pStyle w:val="FirstParagraph"/>
      </w:pPr>
      <w:r>
        <w:t xml:space="preserve">The Sentinel-2 images used in this study are dated from the 1st of September 2021 and the 6th of September 2021 (</w:t>
      </w:r>
      <w:hyperlink w:anchor="fig-S2_comparison">
        <w:r>
          <w:rPr>
            <w:rStyle w:val="Hyperlink"/>
          </w:rPr>
          <w:t xml:space="preserve">Figure 6</w:t>
        </w:r>
      </w:hyperlink>
      <w:r>
        <w:t xml:space="preserve"> </w:t>
      </w:r>
      <w:r>
        <w:t xml:space="preserve">A and C, respectively). The Atmospheric Heat Wave (AHW) started on 4 September and lasted until 7 September, while the Marine Heat Wave (MHW) started on 3 September and ended on 8 September 2021 (</w:t>
      </w:r>
      <w:hyperlink w:anchor="fig-S2_comparison">
        <w:r>
          <w:rPr>
            <w:rStyle w:val="Hyperlink"/>
          </w:rPr>
          <w:t xml:space="preserve">Figure 6</w:t>
        </w:r>
      </w:hyperlink>
      <w:r>
        <w:t xml:space="preserve"> </w:t>
      </w:r>
      <w:r>
        <w:t xml:space="preserve">B). The AHW has been classified as a strong event, and the MHW has been classified as moderate. Even though the Sentinel-2 of the 6th of September was captured only a few days after the start of the events, darkening of seagrass can already be observed in the true-color composition (</w:t>
      </w:r>
      <w:hyperlink w:anchor="fig-S2_comparison">
        <w:r>
          <w:rPr>
            <w:rStyle w:val="Hyperlink"/>
          </w:rPr>
          <w:t xml:space="preserve">Figure 6</w:t>
        </w:r>
      </w:hyperlink>
      <w:r>
        <w:t xml:space="preserve"> </w:t>
      </w:r>
      <w:r>
        <w:t xml:space="preserve">C). Before the event, all GCPs appeared green un the images, with similar reflectance spectra, regardless of the class attributed to the GCPs on the field (</w:t>
      </w:r>
      <w:hyperlink w:anchor="fig-S2_comparison">
        <w:r>
          <w:rPr>
            <w:rStyle w:val="Hyperlink"/>
          </w:rPr>
          <w:t xml:space="preserve">Figure 6</w:t>
        </w:r>
      </w:hyperlink>
      <w:r>
        <w:t xml:space="preserve"> </w:t>
      </w:r>
      <w:r>
        <w:t xml:space="preserve">A and D left). Their reflectance spectra showed a peak at 560 nm (in the green part of the spectra), low values at 665 nm, corresponding to the strong absorption by chlorophyll-a and a high infrared plateau (&gt; 705 nm). However, GCPs classified as dark seagrass during the fieldtrip, showed significant differences in reflectance spectral shape compared to GCPs classified as green seagrass on the 10th of September, with corresponding differences in the true color composition (</w:t>
      </w:r>
      <w:hyperlink w:anchor="fig-S2_comparison">
        <w:r>
          <w:rPr>
            <w:rStyle w:val="Hyperlink"/>
          </w:rPr>
          <w:t xml:space="preserve">Figure 6</w:t>
        </w:r>
      </w:hyperlink>
      <w:r>
        <w:t xml:space="preserve"> </w:t>
      </w:r>
      <w:r>
        <w:t xml:space="preserve">C and D right). In fact these dark seagrass GCPs were affected by extreme events, which altered their color and impacted the satellite reflectance (</w:t>
      </w:r>
      <w:hyperlink w:anchor="fig-S2_comparison">
        <w:r>
          <w:rPr>
            <w:rStyle w:val="Hyperlink"/>
          </w:rPr>
          <w:t xml:space="preserve">Figure 6</w:t>
        </w:r>
      </w:hyperlink>
      <w:r>
        <w:t xml:space="preserve"> </w:t>
      </w:r>
      <w:r>
        <w:t xml:space="preserve">C). The reflectance spectra over dark seagrass were characterized by the loss of the reflectance peak at 560 nm and a decrease in the infared plateau, which was observed as a steady increasing slope up to 940 nm.</w:t>
      </w:r>
    </w:p>
    <w:bookmarkStart w:id="76" w:name="cell-fig-S2_comparison"/>
    <w:tbl>
      <w:tblPr>
        <w:tblStyle w:val="Table"/>
        <w:tblW w:type="pct" w:w="5000"/>
        <w:tblLayout w:type="fixed"/>
        <w:tblLook w:firstRow="0" w:lastRow="0" w:firstColumn="0" w:lastColumn="0" w:noHBand="0" w:noVBand="0" w:val="0000"/>
      </w:tblPr>
      <w:tblGrid>
        <w:gridCol w:w="7920"/>
      </w:tblGrid>
      <w:tr>
        <w:tc>
          <w:tcPr/>
          <w:bookmarkStart w:id="75" w:name="fig-S2_comparison"/>
          <w:p>
            <w:pPr>
              <w:pStyle w:val="Compact"/>
              <w:jc w:val="center"/>
            </w:pPr>
            <w:r>
              <w:drawing>
                <wp:inline>
                  <wp:extent cx="5334000" cy="4536179"/>
                  <wp:effectExtent b="0" l="0" r="0" t="0"/>
                  <wp:docPr descr="" title="" id="73" name="Picture"/>
                  <a:graphic>
                    <a:graphicData uri="http://schemas.openxmlformats.org/drawingml/2006/picture">
                      <pic:pic>
                        <pic:nvPicPr>
                          <pic:cNvPr descr="Figs/Low_res/Heatwaves_S2_plot.png" id="74" name="Picture"/>
                          <pic:cNvPicPr>
                            <a:picLocks noChangeArrowheads="1" noChangeAspect="1"/>
                          </pic:cNvPicPr>
                        </pic:nvPicPr>
                        <pic:blipFill>
                          <a:blip r:embed="rId72"/>
                          <a:stretch>
                            <a:fillRect/>
                          </a:stretch>
                        </pic:blipFill>
                        <pic:spPr bwMode="auto">
                          <a:xfrm>
                            <a:off x="0" y="0"/>
                            <a:ext cx="5334000" cy="4536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Spectral Comparison of Sentinel-2 Reflectance (D) over Ground Control Points (GCPs) Before (A) and During (B) Heatwave Events (C); A: RGB color composition of the Sentinel-2 image on the 1st of September 2021. The points correspond to GCPs collected on September 10, 2021</w:t>
            </w:r>
            <w:r>
              <w:t xml:space="preserve"> </w:t>
            </w:r>
            <w:hyperlink w:anchor="fig-quiberonMap">
              <w:r>
                <w:rPr>
                  <w:rStyle w:val="Hyperlink"/>
                </w:rPr>
                <w:t xml:space="preserve">Figure 1</w:t>
              </w:r>
            </w:hyperlink>
            <w:r>
              <w:t xml:space="preserve">; B: Detection of heatwave events based on both Air Temperature and Sea Surface Temperature (SST). The solid line represents the daily average temperature, while the dashed line indicates the 90th percentile of the climatology. Colored polygons identidy heatwaves (marine in blue and atmospherical in red). The two vertical dashed lines represent the acquisition dates of the two Sentinel-2 images used in this analysis ; C : RGB color composition of the Sentinel-2 image on the 6th of September 2021. The points correspond to GCPs collected on September 10, 2021</w:t>
            </w:r>
            <w:r>
              <w:t xml:space="preserve"> </w:t>
            </w:r>
            <w:hyperlink w:anchor="fig-quiberonMap">
              <w:r>
                <w:rPr>
                  <w:rStyle w:val="Hyperlink"/>
                </w:rPr>
                <w:t xml:space="preserve">Figure 1</w:t>
              </w:r>
            </w:hyperlink>
            <w:r>
              <w:t xml:space="preserve"> </w:t>
            </w:r>
            <w:r>
              <w:t xml:space="preserve">; D : Average spectral signatures of GCPs where dark and green seagrasses (blue and gold lines, respectively) were identified during the field survey. The left plot shows the reflectance of these GCPs before the heatwave impact, while the right plot shows the spectral signature during the heatwaves. The ribbons around the lines represent the standard deviation.</w:t>
            </w:r>
          </w:p>
          <w:bookmarkEnd w:id="75"/>
        </w:tc>
      </w:tr>
    </w:tbl>
    <w:bookmarkEnd w:id="76"/>
    <w:bookmarkEnd w:id="77"/>
    <w:bookmarkStart w:id="88" w:name="radiometric-indices-comparison"/>
    <w:p>
      <w:pPr>
        <w:pStyle w:val="Heading3"/>
      </w:pPr>
      <w:r>
        <w:t xml:space="preserve">3.1.2 Radiometric indices comparison</w:t>
      </w:r>
    </w:p>
    <w:p>
      <w:pPr>
        <w:pStyle w:val="FirstParagraph"/>
      </w:pPr>
      <w:r>
        <w:t xml:space="preserve">Using Sentinel-2 data, the spectral indices (NDVI and GLI) and SPC estimated for pixels unaffected by the heatwave showed no significant differences before or during the event (</w:t>
      </w:r>
      <w:hyperlink w:anchor="fig-NDVI_GLI_SPC">
        <w:r>
          <w:rPr>
            <w:rStyle w:val="Hyperlink"/>
          </w:rPr>
          <w:t xml:space="preserve">Figure 7</w:t>
        </w:r>
      </w:hyperlink>
      <w:r>
        <w:t xml:space="preserve">, left column) In contrast, seagrass darkened by the heatwave exhibited a significant decrease in both index values and SPC (</w:t>
      </w:r>
      <w:hyperlink w:anchor="fig-NDVI_GLI_SPC">
        <w:r>
          <w:rPr>
            <w:rStyle w:val="Hyperlink"/>
          </w:rPr>
          <w:t xml:space="preserve">Figure 7</w:t>
        </w:r>
      </w:hyperlink>
      <w:r>
        <w:t xml:space="preserve">, right column). In this case, the NDVI dropped by approximately 34%, from a median of 0.61 to 0.40, while also becoming more homogeneous (the standard deviation decreased from 0.09 to 0.06) (</w:t>
      </w:r>
      <w:hyperlink w:anchor="fig-NDVI_GLI_SPC">
        <w:r>
          <w:rPr>
            <w:rStyle w:val="Hyperlink"/>
          </w:rPr>
          <w:t xml:space="preserve">Figure 7</w:t>
        </w:r>
      </w:hyperlink>
      <w:r>
        <w:t xml:space="preserve"> </w:t>
      </w:r>
      <w:r>
        <w:t xml:space="preserve">B).</w:t>
      </w:r>
      <w:r>
        <w:t xml:space="preserve"> </w:t>
      </w:r>
      <w:r>
        <w:t xml:space="preserve">Although the heatwave did not affect the observed seagrass density in the field, the drop in NDVI led to an underestimation of satellite-based SPC, from 83 to 48% (</w:t>
      </w:r>
      <w:hyperlink w:anchor="fig-NDVI_GLI_SPC">
        <w:r>
          <w:rPr>
            <w:rStyle w:val="Hyperlink"/>
          </w:rPr>
          <w:t xml:space="preserve">Figure 7</w:t>
        </w:r>
      </w:hyperlink>
      <w:r>
        <w:t xml:space="preserve"> </w:t>
      </w:r>
      <w:r>
        <w:t xml:space="preserve">D). The GLI, the index that reflects the greenness of leaves, was the most affected by the event, with an important reduction from a median of 0.15 to 0.02 during the event (</w:t>
      </w:r>
      <w:hyperlink w:anchor="fig-NDVI_GLI_SPC">
        <w:r>
          <w:rPr>
            <w:rStyle w:val="Hyperlink"/>
          </w:rPr>
          <w:t xml:space="preserve">Figure 7</w:t>
        </w:r>
      </w:hyperlink>
      <w:r>
        <w:t xml:space="preserve"> </w:t>
      </w:r>
      <w:r>
        <w:t xml:space="preserve">F). Interestingly, when comparing the initial seagrass density of both targets (i.e., seagrass density before the event) pixels affected by the heatwave (median SPC = 65%; [</w:t>
      </w:r>
      <w:hyperlink w:anchor="fig-NDVI_GLI_SPC">
        <w:r>
          <w:rPr>
            <w:rStyle w:val="Hyperlink"/>
          </w:rPr>
          <w:t xml:space="preserve">Figure 7</w:t>
        </w:r>
      </w:hyperlink>
      <w:r>
        <w:t xml:space="preserve"> </w:t>
      </w:r>
      <w:r>
        <w:t xml:space="preserve">C green) were denser than the those remained unchanged (median SPC = 85%; [</w:t>
      </w:r>
      <w:hyperlink w:anchor="fig-NDVI_GLI_SPC">
        <w:r>
          <w:rPr>
            <w:rStyle w:val="Hyperlink"/>
          </w:rPr>
          <w:t xml:space="preserve">Figure 7</w:t>
        </w:r>
      </w:hyperlink>
      <w:r>
        <w:t xml:space="preserve"> </w:t>
      </w:r>
      <w:r>
        <w:t xml:space="preserve">D green).</w:t>
      </w:r>
    </w:p>
    <w:bookmarkStart w:id="82" w:name="cell-fig-NDVI_GLI_SPC"/>
    <w:tbl>
      <w:tblPr>
        <w:tblStyle w:val="Table"/>
        <w:tblW w:type="pct" w:w="5000"/>
        <w:tblLayout w:type="fixed"/>
        <w:tblLook w:firstRow="0" w:lastRow="0" w:firstColumn="0" w:lastColumn="0" w:noHBand="0" w:noVBand="0" w:val="0000"/>
      </w:tblPr>
      <w:tblGrid>
        <w:gridCol w:w="7920"/>
      </w:tblGrid>
      <w:tr>
        <w:tc>
          <w:tcPr/>
          <w:bookmarkStart w:id="81" w:name="fig-NDVI_GLI_SPC"/>
          <w:p>
            <w:pPr>
              <w:pStyle w:val="Compact"/>
              <w:jc w:val="center"/>
            </w:pPr>
            <w:r>
              <w:drawing>
                <wp:inline>
                  <wp:extent cx="4267200" cy="6096000"/>
                  <wp:effectExtent b="0" l="0" r="0" t="0"/>
                  <wp:docPr descr="" title="" id="79" name="Picture"/>
                  <a:graphic>
                    <a:graphicData uri="http://schemas.openxmlformats.org/drawingml/2006/picture">
                      <pic:pic>
                        <pic:nvPicPr>
                          <pic:cNvPr descr="Figs/Low_res/Compares_Indices_S2.png" id="80" name="Picture"/>
                          <pic:cNvPicPr>
                            <a:picLocks noChangeArrowheads="1" noChangeAspect="1"/>
                          </pic:cNvPicPr>
                        </pic:nvPicPr>
                        <pic:blipFill>
                          <a:blip r:embed="rId78"/>
                          <a:stretch>
                            <a:fillRect/>
                          </a:stretch>
                        </pic:blipFill>
                        <pic:spPr bwMode="auto">
                          <a:xfrm>
                            <a:off x="0" y="0"/>
                            <a:ext cx="42672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Comparaison of Sentinel-2 based radiometric indices at two different dates, before (2021-09-01, green) and after (2021-09-06, red) the heatwaves events of Quiberons, for the two category of GCPs seen in the filed : Green seagrasses (i.e seagrass not affected by the event, Left Column) and Darkened Seagrasses (i.e seagrass affected by the event, Right column). The Normalised Difference Vegetation Index (NDVI) has been computed using the</w:t>
            </w:r>
            <w:r>
              <w:t xml:space="preserve"> </w:t>
            </w:r>
            <w:hyperlink w:anchor="eq-ndvi">
              <w:r>
                <w:rPr>
                  <w:rStyle w:val="Hyperlink"/>
                </w:rPr>
                <w:t xml:space="preserve">Equation 1</w:t>
              </w:r>
            </w:hyperlink>
            <w:r>
              <w:t xml:space="preserve">, the Seagrass Percent Cover (SPC) with the</w:t>
            </w:r>
            <w:r>
              <w:t xml:space="preserve"> </w:t>
            </w:r>
            <w:hyperlink w:anchor="eq-spc">
              <w:r>
                <w:rPr>
                  <w:rStyle w:val="Hyperlink"/>
                </w:rPr>
                <w:t xml:space="preserve">Equation 2</w:t>
              </w:r>
            </w:hyperlink>
            <w:r>
              <w:t xml:space="preserve"> </w:t>
            </w:r>
            <w:r>
              <w:t xml:space="preserve">and the Green Leaf Index (GLI) using</w:t>
            </w:r>
            <w:r>
              <w:t xml:space="preserve"> </w:t>
            </w:r>
            <w:hyperlink w:anchor="eq-gli">
              <w:r>
                <w:rPr>
                  <w:rStyle w:val="Hyperlink"/>
                </w:rPr>
                <w:t xml:space="preserve">Equation 3</w:t>
              </w:r>
            </w:hyperlink>
            <w:r>
              <w:t xml:space="preserve">,</w:t>
            </w:r>
          </w:p>
          <w:bookmarkEnd w:id="81"/>
        </w:tc>
      </w:tr>
    </w:tbl>
    <w:bookmarkEnd w:id="82"/>
    <w:bookmarkStart w:id="87" w:name="cell-fig-Map_darkening_Bathy"/>
    <w:tbl>
      <w:tblPr>
        <w:tblStyle w:val="Table"/>
        <w:tblW w:type="pct" w:w="5000"/>
        <w:tblLayout w:type="fixed"/>
        <w:tblLook w:firstRow="0" w:lastRow="0" w:firstColumn="0" w:lastColumn="0" w:noHBand="0" w:noVBand="0" w:val="0000"/>
      </w:tblPr>
      <w:tblGrid>
        <w:gridCol w:w="7920"/>
      </w:tblGrid>
      <w:tr>
        <w:tc>
          <w:tcPr/>
          <w:bookmarkStart w:id="86" w:name="fig-Map_darkening_Bathy"/>
          <w:p>
            <w:pPr>
              <w:pStyle w:val="Compact"/>
              <w:jc w:val="center"/>
            </w:pPr>
            <w:r>
              <w:drawing>
                <wp:inline>
                  <wp:extent cx="5334000" cy="4987290"/>
                  <wp:effectExtent b="0" l="0" r="0" t="0"/>
                  <wp:docPr descr="" title="" id="84" name="Picture"/>
                  <a:graphic>
                    <a:graphicData uri="http://schemas.openxmlformats.org/drawingml/2006/picture">
                      <pic:pic>
                        <pic:nvPicPr>
                          <pic:cNvPr descr="Figs/Low_res/Map_darkening_Bathy.png" id="85" name="Picture"/>
                          <pic:cNvPicPr>
                            <a:picLocks noChangeArrowheads="1" noChangeAspect="1"/>
                          </pic:cNvPicPr>
                        </pic:nvPicPr>
                        <pic:blipFill>
                          <a:blip r:embed="rId83"/>
                          <a:stretch>
                            <a:fillRect/>
                          </a:stretch>
                        </pic:blipFill>
                        <pic:spPr bwMode="auto">
                          <a:xfrm>
                            <a:off x="0" y="0"/>
                            <a:ext cx="5334000" cy="49872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Map of the Darkening of seagrasses during the heatwave events of September 2021 in Quiberon. A: 1m bathymetry isobar (golden line); B: Result of the detection of darkened seagrass patches (Blue plolygons)</w:t>
            </w:r>
          </w:p>
          <w:bookmarkEnd w:id="86"/>
        </w:tc>
      </w:tr>
    </w:tbl>
    <w:bookmarkEnd w:id="87"/>
    <w:bookmarkEnd w:id="88"/>
    <w:bookmarkEnd w:id="89"/>
    <w:bookmarkEnd w:id="90"/>
    <w:bookmarkStart w:id="130" w:name="bibliography"/>
    <w:p>
      <w:pPr>
        <w:pStyle w:val="Heading1"/>
      </w:pPr>
      <w:r>
        <w:t xml:space="preserve">4. Bibliography</w:t>
      </w:r>
    </w:p>
    <w:bookmarkStart w:id="129" w:name="refs"/>
    <w:bookmarkStart w:id="91"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91"/>
    <w:bookmarkStart w:id="92"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92"/>
    <w:bookmarkStart w:id="94"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93">
        <w:r>
          <w:rPr>
            <w:rStyle w:val="Hyperlink"/>
          </w:rPr>
          <w:t xml:space="preserve">https://doi.org/10.48670/moi-00311</w:t>
        </w:r>
      </w:hyperlink>
    </w:p>
    <w:bookmarkEnd w:id="94"/>
    <w:bookmarkStart w:id="95" w:name="ref-deguette2022physiological"/>
    <w:p>
      <w:pPr>
        <w:pStyle w:val="Bibliography"/>
      </w:pPr>
      <w:r>
        <w:t xml:space="preserve">Deguette, A., Barrote, I., Silva, J., 2022. Physiological and morphological effects of a marine heatwave on the seagrass cymodocea nodosa. Scientific Reports 12, 7950.</w:t>
      </w:r>
    </w:p>
    <w:bookmarkEnd w:id="95"/>
    <w:bookmarkStart w:id="96" w:name="ref-sen2cor"/>
    <w:p>
      <w:pPr>
        <w:pStyle w:val="Bibliography"/>
      </w:pPr>
      <w:r>
        <w:t xml:space="preserve">European Space Agency, 2024b. Sen2Cor: Sentinel-2 atmospheric correction processor.</w:t>
      </w:r>
    </w:p>
    <w:bookmarkEnd w:id="96"/>
    <w:bookmarkStart w:id="97" w:name="ref-copernicus_sentinel2"/>
    <w:p>
      <w:pPr>
        <w:pStyle w:val="Bibliography"/>
      </w:pPr>
      <w:r>
        <w:t xml:space="preserve">European Space Agency, 2024a. Copernicus open access hub.</w:t>
      </w:r>
    </w:p>
    <w:bookmarkEnd w:id="97"/>
    <w:bookmarkStart w:id="98" w:name="ref-gardner2018global"/>
    <w:p>
      <w:pPr>
        <w:pStyle w:val="Bibliography"/>
      </w:pPr>
      <w:r>
        <w:t xml:space="preserve">Gardner, R.C., Finlayson, C., 2018. Global wetland outlook: State of the world’s wetlands and their services to people, in: Ramsar Convention Secretariat. pp. 2020–5.</w:t>
      </w:r>
    </w:p>
    <w:bookmarkEnd w:id="98"/>
    <w:bookmarkStart w:id="99"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99"/>
    <w:bookmarkStart w:id="100"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100"/>
    <w:bookmarkStart w:id="101"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101"/>
    <w:bookmarkStart w:id="102" w:name="ref-huete2012vegetation"/>
    <w:p>
      <w:pPr>
        <w:pStyle w:val="Bibliography"/>
      </w:pPr>
      <w:r>
        <w:t xml:space="preserve">Huete, A.R., 2012. Vegetation indices, remote sensing and forest monitoring. Geography Compass 6, 513–532.</w:t>
      </w:r>
    </w:p>
    <w:bookmarkEnd w:id="102"/>
    <w:bookmarkStart w:id="103" w:name="ref-ioc_sea_level_lecy"/>
    <w:p>
      <w:pPr>
        <w:pStyle w:val="Bibliography"/>
      </w:pPr>
      <w:r>
        <w:t xml:space="preserve">IOC, 2024. Intergovernmental oceanographic commission ; sea level monitoring station - le conquet, france (LECY).</w:t>
      </w:r>
    </w:p>
    <w:bookmarkEnd w:id="103"/>
    <w:bookmarkStart w:id="104"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04"/>
    <w:bookmarkStart w:id="105" w:name="ref-kloos2021agricultural"/>
    <w:p>
      <w:pPr>
        <w:pStyle w:val="Bibliography"/>
      </w:pPr>
      <w:r>
        <w:t xml:space="preserve">Kloos, S., Yuan, Y., Castelli, M., Menzel, A., 2021. Agricultural drought detection with MODIS based vegetation health indices in southeast germany. Remote Sensing 13, 3907.</w:t>
      </w:r>
    </w:p>
    <w:bookmarkEnd w:id="105"/>
    <w:bookmarkStart w:id="106"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106"/>
    <w:bookmarkStart w:id="107"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07"/>
    <w:bookmarkStart w:id="108" w:name="ref-perkins2013measurement"/>
    <w:p>
      <w:pPr>
        <w:pStyle w:val="Bibliography"/>
      </w:pPr>
      <w:r>
        <w:t xml:space="preserve">Perkins, S.E., Alexander, L.V., 2013. On the measurement of heat waves. Journal of climate 26, 4500–4517.</w:t>
      </w:r>
    </w:p>
    <w:bookmarkEnd w:id="108"/>
    <w:bookmarkStart w:id="109" w:name="ref-ramesh2020seagrass"/>
    <w:p>
      <w:pPr>
        <w:pStyle w:val="Bibliography"/>
      </w:pPr>
      <w:r>
        <w:t xml:space="preserve">Ramesh, C., Mohanraju, R., 2020. Seagrass ecosystems of andaman and nicobar islands: Status and future perspective. Environmental &amp; Earth Sciences Research Journal 7.</w:t>
      </w:r>
    </w:p>
    <w:bookmarkEnd w:id="109"/>
    <w:bookmarkStart w:id="110" w:name="ref-rouse1974monitoring"/>
    <w:p>
      <w:pPr>
        <w:pStyle w:val="Bibliography"/>
      </w:pPr>
      <w:r>
        <w:t xml:space="preserve">Rouse, J.W., Haas, R.H., Schell, J.A., Deering, D.W., others, 1974. Monitoring vegetation systems in the great plains with ERTS. NASA Spec. Publ 351, 309.</w:t>
      </w:r>
    </w:p>
    <w:bookmarkEnd w:id="110"/>
    <w:bookmarkStart w:id="111"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111"/>
    <w:bookmarkStart w:id="112" w:name="ref-schlegel2017nearshore"/>
    <w:p>
      <w:pPr>
        <w:pStyle w:val="Bibliography"/>
      </w:pPr>
      <w:r>
        <w:t xml:space="preserve">Schlegel, R.W., Oliver, E.C., Wernberg, T., Smit, A.J., 2017. Nearshore and offshore co-occurrence of marine heatwaves and cold-spells. Progress in Oceanography 151, 189–205.</w:t>
      </w:r>
    </w:p>
    <w:bookmarkEnd w:id="112"/>
    <w:bookmarkStart w:id="114"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113">
        <w:r>
          <w:rPr>
            <w:rStyle w:val="Hyperlink"/>
          </w:rPr>
          <w:t xml:space="preserve">https://doi.org/10.21105/joss.00821</w:t>
        </w:r>
      </w:hyperlink>
    </w:p>
    <w:bookmarkEnd w:id="114"/>
    <w:bookmarkStart w:id="115"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115"/>
    <w:bookmarkStart w:id="116"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116"/>
    <w:bookmarkStart w:id="118" w:name="ref-shom_ram_2022"/>
    <w:p>
      <w:pPr>
        <w:pStyle w:val="Bibliography"/>
      </w:pPr>
      <w:r>
        <w:t xml:space="preserve">Shom, 2022.</w:t>
      </w:r>
      <w:r>
        <w:t xml:space="preserve"> </w:t>
      </w:r>
      <w:hyperlink r:id="rId117">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118"/>
    <w:bookmarkStart w:id="119" w:name="Xbef41143b4d4042e58f11cfc27e216202646012"/>
    <w:p>
      <w:pPr>
        <w:pStyle w:val="Bibliography"/>
      </w:pPr>
      <w:r>
        <w:t xml:space="preserve">SHOM, 2021. Service hydrographique et océanographique de la marine ; bathymétrie Litto3D® bretagne 2018-2021.</w:t>
      </w:r>
    </w:p>
    <w:bookmarkEnd w:id="119"/>
    <w:bookmarkStart w:id="120"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120"/>
    <w:bookmarkStart w:id="121"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121"/>
    <w:bookmarkStart w:id="122"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122"/>
    <w:bookmarkStart w:id="123" w:name="ref-unsworth2022planetary"/>
    <w:p>
      <w:pPr>
        <w:pStyle w:val="Bibliography"/>
      </w:pPr>
      <w:r>
        <w:t xml:space="preserve">Unsworth, R.K., Cullen-Unsworth, L.C., Jones, B.L., Lilley, R.J., 2022. The planetary role of seagrass conservation. Science 377, 609–613.</w:t>
      </w:r>
    </w:p>
    <w:bookmarkEnd w:id="123"/>
    <w:bookmarkStart w:id="124"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124"/>
    <w:bookmarkStart w:id="125"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125"/>
    <w:bookmarkStart w:id="126"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26"/>
    <w:bookmarkStart w:id="127"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27"/>
    <w:bookmarkStart w:id="128"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128"/>
    <w:bookmarkEnd w:id="129"/>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2" Target="media/rId72.png" /><Relationship Type="http://schemas.openxmlformats.org/officeDocument/2006/relationships/image" Id="rId83" Target="media/rId83.png"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hyperlink" Id="rId117" Target="https://diffusion.shom.fr/references-altimetriques-maritimes-ram.html" TargetMode="External" /><Relationship Type="http://schemas.openxmlformats.org/officeDocument/2006/relationships/hyperlink" Id="rId113" Target="https://doi.org/10.21105/joss.00821" TargetMode="External" /><Relationship Type="http://schemas.openxmlformats.org/officeDocument/2006/relationships/hyperlink" Id="rId93" Target="https://doi.org/10.48670/moi-00311" TargetMode="External" /><Relationship Type="http://schemas.openxmlformats.org/officeDocument/2006/relationships/hyperlink" Id="rId48"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66" Target="https://sigoiry.github.io/DISCOV-MicaSense/" TargetMode="External" /><Relationship Type="http://schemas.openxmlformats.org/officeDocument/2006/relationships/hyperlink" Id="rId60"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117" Target="https://diffusion.shom.fr/references-altimetriques-maritimes-ram.html" TargetMode="External" /><Relationship Type="http://schemas.openxmlformats.org/officeDocument/2006/relationships/hyperlink" Id="rId113" Target="https://doi.org/10.21105/joss.00821" TargetMode="External" /><Relationship Type="http://schemas.openxmlformats.org/officeDocument/2006/relationships/hyperlink" Id="rId93" Target="https://doi.org/10.48670/moi-00311" TargetMode="External" /><Relationship Type="http://schemas.openxmlformats.org/officeDocument/2006/relationships/hyperlink" Id="rId48"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66" Target="https://sigoiry.github.io/DISCOV-MicaSense/" TargetMode="External" /><Relationship Type="http://schemas.openxmlformats.org/officeDocument/2006/relationships/hyperlink" Id="rId60"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Maria Laura Zoffoli; Anne-Laure Barillé; Nicolas Harin; Pierre Gernez; Laurent Barillé</dc:creator>
  <cp:keywords>Remote Sensing, Pigment Composition, Seagrass, Coastal Ecosystems, Heatwaves</cp:keywords>
  <dcterms:created xsi:type="dcterms:W3CDTF">2024-10-24T20:00:09Z</dcterms:created>
  <dcterms:modified xsi:type="dcterms:W3CDTF">2024-10-24T20:00:09Z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2024-10-24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